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55051" w14:textId="77777777" w:rsidR="007D19DB" w:rsidRPr="007D19DB" w:rsidRDefault="007D19DB" w:rsidP="007D19DB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7D19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Ogłoszenie o II przetargu na sprzedaż składników rzeczowych majątku ruchomego Gminy Kleczew w drodze składania ofert pisemnych</w:t>
      </w:r>
    </w:p>
    <w:p w14:paraId="38070F97" w14:textId="77777777" w:rsidR="007D19DB" w:rsidRPr="007D19DB" w:rsidRDefault="007D19DB" w:rsidP="007D19DB">
      <w:pPr>
        <w:keepLines/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7D19DB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Działając na podstawie art. 30 ust. 2 pkt 3 ustawy z dnia 8 marca 1990 r. o samorządzie gminnym (Dz.U. z 2026 r. poz. 662) oraz zarządzenia nr 0050/5/2025 Burmistrza Gminy i Miasta Kleczew z dnia 20 stycznia 2025r. w sprawie wprowadzenia regulaminu gospodarowania składnikami rzeczowymi majątku ruchomego Gminy Kleczew, Burmistrz Gminy i Miasta Kleczew ogłasza II przetarg na zbycie składników rzeczowych majątku ruchomego Gminy Kleczew.</w:t>
      </w:r>
    </w:p>
    <w:p w14:paraId="01EDD75F" w14:textId="77777777" w:rsidR="007D19DB" w:rsidRPr="007D19DB" w:rsidRDefault="007D19DB" w:rsidP="007D19DB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7D19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I.  Nazwa i siedziba organizatora przetargu</w:t>
      </w:r>
    </w:p>
    <w:p w14:paraId="1C6BFDE1" w14:textId="77777777" w:rsidR="007D19DB" w:rsidRPr="007D19DB" w:rsidRDefault="007D19DB" w:rsidP="007D19DB">
      <w:pPr>
        <w:autoSpaceDE w:val="0"/>
        <w:autoSpaceDN w:val="0"/>
        <w:adjustRightInd w:val="0"/>
        <w:spacing w:before="120" w:after="120" w:line="240" w:lineRule="auto"/>
        <w:ind w:left="510" w:firstLine="22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7D19D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color="000000"/>
          <w:lang w:eastAsia="pl-PL"/>
          <w14:ligatures w14:val="none"/>
        </w:rPr>
        <w:t>Burmistrz Gminy i Miasta Kleczew, pl. Kościuszki 5, 62-540 Kleczew</w:t>
      </w:r>
    </w:p>
    <w:p w14:paraId="75F75437" w14:textId="77777777" w:rsidR="007D19DB" w:rsidRPr="007D19DB" w:rsidRDefault="007D19DB" w:rsidP="007D19DB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7D19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II. </w:t>
      </w:r>
      <w:r w:rsidRPr="007D19DB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color="000000"/>
          <w:lang w:eastAsia="pl-PL"/>
          <w14:ligatures w14:val="none"/>
        </w:rPr>
        <w:t xml:space="preserve"> Miejsce i termin przeprowadzenia </w:t>
      </w:r>
    </w:p>
    <w:p w14:paraId="2C66AAA8" w14:textId="77777777" w:rsidR="007D19DB" w:rsidRPr="007D19DB" w:rsidRDefault="007D19DB" w:rsidP="007D19DB">
      <w:pPr>
        <w:autoSpaceDE w:val="0"/>
        <w:autoSpaceDN w:val="0"/>
        <w:adjustRightInd w:val="0"/>
        <w:spacing w:before="120" w:after="120" w:line="240" w:lineRule="auto"/>
        <w:ind w:left="510" w:firstLine="22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7D19D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color="000000"/>
          <w:lang w:eastAsia="pl-PL"/>
          <w14:ligatures w14:val="none"/>
        </w:rPr>
        <w:t>Otwarcie ofert nastąpi 13.08.2026 r. o godzinie 10.00, w siedzibie Urzędu Gminy i Miasta Kleczew, pl. Kościuszki 5, 62-540 Kleczew, pok. 306.</w:t>
      </w:r>
    </w:p>
    <w:p w14:paraId="79ADBF6D" w14:textId="77777777" w:rsidR="007D19DB" w:rsidRPr="007D19DB" w:rsidRDefault="007D19DB" w:rsidP="007D19DB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7D19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III. </w:t>
      </w:r>
      <w:r w:rsidRPr="007D19DB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color="000000"/>
          <w:lang w:eastAsia="pl-PL"/>
          <w14:ligatures w14:val="none"/>
        </w:rPr>
        <w:t xml:space="preserve"> Rodzaj i typ sprzedawanych składników rzeczowych majątku ruchomego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1800"/>
        <w:gridCol w:w="1665"/>
        <w:gridCol w:w="1365"/>
        <w:gridCol w:w="1215"/>
        <w:gridCol w:w="1470"/>
        <w:gridCol w:w="945"/>
        <w:gridCol w:w="1485"/>
      </w:tblGrid>
      <w:tr w:rsidR="007D19DB" w:rsidRPr="007D19DB" w14:paraId="6EF3F29A" w14:textId="77777777">
        <w:trPr>
          <w:trHeight w:val="600"/>
        </w:trPr>
        <w:tc>
          <w:tcPr>
            <w:tcW w:w="4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5B4FB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1800" w:type="dxa"/>
            <w:tcBorders>
              <w:left w:val="non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CC8BE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Nazwa składnika rzeczowego majątku ruchomego</w:t>
            </w:r>
          </w:p>
        </w:tc>
        <w:tc>
          <w:tcPr>
            <w:tcW w:w="1665" w:type="dxa"/>
            <w:tcBorders>
              <w:left w:val="non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DE668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Numer </w:t>
            </w:r>
            <w:proofErr w:type="spellStart"/>
            <w:r w:rsidRPr="007D19D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inwenta-rzowy</w:t>
            </w:r>
            <w:proofErr w:type="spellEnd"/>
          </w:p>
        </w:tc>
        <w:tc>
          <w:tcPr>
            <w:tcW w:w="1365" w:type="dxa"/>
            <w:tcBorders>
              <w:left w:val="non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D0544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Lokalizacja</w:t>
            </w:r>
          </w:p>
        </w:tc>
        <w:tc>
          <w:tcPr>
            <w:tcW w:w="1215" w:type="dxa"/>
            <w:tcBorders>
              <w:left w:val="non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FC13F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Jednostka miary</w:t>
            </w:r>
          </w:p>
        </w:tc>
        <w:tc>
          <w:tcPr>
            <w:tcW w:w="1470" w:type="dxa"/>
            <w:tcBorders>
              <w:left w:val="non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54290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Cena wywoławcza składnika rzeczowego netto (zł)* </w:t>
            </w:r>
          </w:p>
        </w:tc>
        <w:tc>
          <w:tcPr>
            <w:tcW w:w="945" w:type="dxa"/>
            <w:tcBorders>
              <w:left w:val="non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75C64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EA02624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Stawka</w:t>
            </w:r>
          </w:p>
          <w:p w14:paraId="10E42DAA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VAT (%)</w:t>
            </w:r>
          </w:p>
        </w:tc>
        <w:tc>
          <w:tcPr>
            <w:tcW w:w="1485" w:type="dxa"/>
            <w:tcBorders>
              <w:lef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88C88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Cena wywoławcza składnika rzeczowego brutto (zł)</w:t>
            </w:r>
          </w:p>
        </w:tc>
      </w:tr>
      <w:tr w:rsidR="007D19DB" w:rsidRPr="007D19DB" w14:paraId="39691E7E" w14:textId="77777777">
        <w:trPr>
          <w:trHeight w:val="3727"/>
        </w:trPr>
        <w:tc>
          <w:tcPr>
            <w:tcW w:w="465" w:type="dxa"/>
            <w:tcBorders>
              <w:lef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EFCCD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  <w:tc>
          <w:tcPr>
            <w:tcW w:w="1800" w:type="dxa"/>
            <w:tcBorders>
              <w:lef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250BE2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Sieć ciepłownicza (centralnego ogrzewania i ciepłej wody użytkowej) z rur preizolowanych - przyłącza centralnego ogrzewania i ciepłej wody użytkowej do 3 budynków mieszkalnych wielorodzinnych przy ul. 11 Listopada 20, 21 i 22.</w:t>
            </w:r>
          </w:p>
          <w:p w14:paraId="0345948D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1) fi 100/200 mm</w:t>
            </w:r>
          </w:p>
          <w:p w14:paraId="1F60A896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2) fi 80/160 mm</w:t>
            </w:r>
          </w:p>
          <w:p w14:paraId="5A304148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3) fi 65/140 mm</w:t>
            </w:r>
          </w:p>
          <w:p w14:paraId="0845603E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4) fi 50/125</w:t>
            </w:r>
          </w:p>
          <w:p w14:paraId="6889F261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5) fi 40/110 mm</w:t>
            </w:r>
          </w:p>
        </w:tc>
        <w:tc>
          <w:tcPr>
            <w:tcW w:w="1665" w:type="dxa"/>
            <w:tcBorders>
              <w:top w:val="none" w:sz="6" w:space="0" w:color="auto"/>
              <w:lef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45480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1054</w:t>
            </w:r>
          </w:p>
        </w:tc>
        <w:tc>
          <w:tcPr>
            <w:tcW w:w="1365" w:type="dxa"/>
            <w:vMerge w:val="restart"/>
            <w:tcBorders>
              <w:top w:val="none" w:sz="6" w:space="0" w:color="auto"/>
              <w:lef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A5D21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Osiedle Górnicze</w:t>
            </w:r>
          </w:p>
        </w:tc>
        <w:tc>
          <w:tcPr>
            <w:tcW w:w="1215" w:type="dxa"/>
            <w:tcBorders>
              <w:top w:val="none" w:sz="6" w:space="0" w:color="auto"/>
              <w:lef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3C8C1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szt. 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96111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56 468,00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D918F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zw.</w:t>
            </w:r>
          </w:p>
        </w:tc>
        <w:tc>
          <w:tcPr>
            <w:tcW w:w="1485" w:type="dxa"/>
            <w:tcBorders>
              <w:top w:val="single" w:sz="2" w:space="0" w:color="auto"/>
              <w:lef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5E043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56 468,00</w:t>
            </w:r>
          </w:p>
        </w:tc>
      </w:tr>
      <w:tr w:rsidR="007D19DB" w:rsidRPr="007D19DB" w14:paraId="4966CC4F" w14:textId="77777777">
        <w:trPr>
          <w:trHeight w:val="5647"/>
        </w:trPr>
        <w:tc>
          <w:tcPr>
            <w:tcW w:w="465" w:type="dxa"/>
            <w:tcBorders>
              <w:top w:val="single" w:sz="2" w:space="0" w:color="auto"/>
              <w:lef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38B70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2 </w:t>
            </w:r>
          </w:p>
        </w:tc>
        <w:tc>
          <w:tcPr>
            <w:tcW w:w="1800" w:type="dxa"/>
            <w:tcBorders>
              <w:top w:val="single" w:sz="2" w:space="0" w:color="auto"/>
              <w:left w:val="none" w:sz="6" w:space="0" w:color="auto"/>
              <w:right w:val="non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912FE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Instalacja główna kotłowni (kotły gazowe wraz z urządzeniami towarzyszącymi) </w:t>
            </w:r>
          </w:p>
          <w:p w14:paraId="14EA62CF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1) kocioł gazowy kondensacyjny </w:t>
            </w:r>
            <w:proofErr w:type="spellStart"/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Brotje</w:t>
            </w:r>
            <w:proofErr w:type="spellEnd"/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SGB 250 kW - 2 </w:t>
            </w:r>
            <w:proofErr w:type="spellStart"/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szt</w:t>
            </w:r>
            <w:proofErr w:type="spellEnd"/>
          </w:p>
          <w:p w14:paraId="7EDD4C14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2) naczynie </w:t>
            </w:r>
            <w:proofErr w:type="spellStart"/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wzbiorcze</w:t>
            </w:r>
            <w:proofErr w:type="spellEnd"/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przeponowe </w:t>
            </w:r>
            <w:proofErr w:type="spellStart"/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Reflex</w:t>
            </w:r>
            <w:proofErr w:type="spellEnd"/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S600 o pojemności 600 l - 3 szt. i o pojemności 200 l - 2 szt.</w:t>
            </w:r>
          </w:p>
          <w:p w14:paraId="0ABC93E7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3) wymienniki płytowy ciepła o mocy 50 kW-1 szt., 70-kW-1 szt., 200 kW-1 szt. </w:t>
            </w:r>
          </w:p>
          <w:p w14:paraId="7F82C979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3) zbiornik buforowy PHF 2000 o pojemności 2000 l</w:t>
            </w:r>
          </w:p>
          <w:p w14:paraId="57782EE0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4) pompy cyrkulacyjne </w:t>
            </w:r>
            <w:proofErr w:type="spellStart"/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Grundfos</w:t>
            </w:r>
            <w:proofErr w:type="spellEnd"/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8AB3465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5) zasobnik ciepła PHF o pojemności 1000 l - 1 szt. i o pojemności 1500 l - 1 szt.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5EB8C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1054</w:t>
            </w:r>
          </w:p>
        </w:tc>
        <w:tc>
          <w:tcPr>
            <w:tcW w:w="136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A2011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D0D95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szt. 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EEC10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25 743,50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300F8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23</w:t>
            </w:r>
          </w:p>
        </w:tc>
        <w:tc>
          <w:tcPr>
            <w:tcW w:w="148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91E28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31 664,51</w:t>
            </w:r>
          </w:p>
        </w:tc>
      </w:tr>
      <w:tr w:rsidR="007D19DB" w:rsidRPr="007D19DB" w14:paraId="3059417D" w14:textId="77777777">
        <w:trPr>
          <w:trHeight w:val="841"/>
        </w:trPr>
        <w:tc>
          <w:tcPr>
            <w:tcW w:w="46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8BC22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</w:tc>
        <w:tc>
          <w:tcPr>
            <w:tcW w:w="1800" w:type="dxa"/>
            <w:tcBorders>
              <w:top w:val="single" w:sz="2" w:space="0" w:color="auto"/>
              <w:left w:val="none" w:sz="6" w:space="0" w:color="auto"/>
              <w:right w:val="non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161820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Instalacja słoneczna - kolektor słoneczny rurowy Viessmann </w:t>
            </w:r>
            <w:proofErr w:type="spellStart"/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Vitosol</w:t>
            </w:r>
            <w:proofErr w:type="spellEnd"/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D20 - 30 kpl. po 2 m2 każdy wraz z automatyką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8712B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1054</w:t>
            </w:r>
          </w:p>
        </w:tc>
        <w:tc>
          <w:tcPr>
            <w:tcW w:w="136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A6DE4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215" w:type="dxa"/>
            <w:tcBorders>
              <w:top w:val="single" w:sz="2" w:space="0" w:color="auto"/>
              <w:left w:val="non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6938D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szt. </w:t>
            </w:r>
          </w:p>
        </w:tc>
        <w:tc>
          <w:tcPr>
            <w:tcW w:w="1470" w:type="dxa"/>
            <w:tcBorders>
              <w:top w:val="none" w:sz="6" w:space="0" w:color="auto"/>
              <w:left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76C40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8 843,50</w:t>
            </w:r>
          </w:p>
        </w:tc>
        <w:tc>
          <w:tcPr>
            <w:tcW w:w="945" w:type="dxa"/>
            <w:tcBorders>
              <w:top w:val="none" w:sz="6" w:space="0" w:color="auto"/>
              <w:left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0BFE6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23</w:t>
            </w:r>
          </w:p>
        </w:tc>
        <w:tc>
          <w:tcPr>
            <w:tcW w:w="1485" w:type="dxa"/>
            <w:tcBorders>
              <w:top w:val="none" w:sz="6" w:space="0" w:color="auto"/>
              <w:left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E9C91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10 877,51</w:t>
            </w:r>
          </w:p>
        </w:tc>
      </w:tr>
      <w:tr w:rsidR="007D19DB" w:rsidRPr="007D19DB" w14:paraId="12D3E447" w14:textId="77777777">
        <w:trPr>
          <w:trHeight w:val="300"/>
        </w:trPr>
        <w:tc>
          <w:tcPr>
            <w:tcW w:w="6510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237F1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Łącznie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90919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91 055,00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EB0F8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8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7C602" w14:textId="77777777" w:rsidR="007D19DB" w:rsidRPr="007D19DB" w:rsidRDefault="007D19DB" w:rsidP="007D1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19D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99 010,02</w:t>
            </w:r>
          </w:p>
        </w:tc>
      </w:tr>
    </w:tbl>
    <w:p w14:paraId="65E933B2" w14:textId="77777777" w:rsidR="007D19DB" w:rsidRPr="007D19DB" w:rsidRDefault="007D19DB" w:rsidP="007D19D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7D19D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color="000000"/>
          <w:lang w:eastAsia="pl-PL"/>
          <w14:ligatures w14:val="none"/>
        </w:rPr>
        <w:t>*cenę wywoławczą ustalono na podstawie operatu szacunkowego w sprawie określenia wartości urządzeń kotłowni gazowej oraz sieci ciepłowniczej z 29.08.2025 r. oraz rozdz. 4, ust. 19 zarządzenia nr 0050/5/2025 Burmistrza Gminy i Miasta Kleczew z dnia 20 stycznia 2025r. w sprawie wprowadzenia regulaminu gospodarowania składnikami rzeczowymi majątku ruchomego Gminy Kleczew – drugą sprzedaż przeprowadza się w terminie do 3 miesięcy od dnia zamknięcia pierwszej. Cena wywoławcza może zostać obniżona, jednak nie więcej niż o połowę ceny wywoławczej z pierwszej sprzedaży.</w:t>
      </w:r>
    </w:p>
    <w:p w14:paraId="3E712931" w14:textId="77777777" w:rsidR="007D19DB" w:rsidRPr="007D19DB" w:rsidRDefault="007D19DB" w:rsidP="007D19DB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7D19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IV. </w:t>
      </w:r>
      <w:r w:rsidRPr="007D19DB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color="000000"/>
          <w:lang w:eastAsia="pl-PL"/>
          <w14:ligatures w14:val="none"/>
        </w:rPr>
        <w:t> Termin, miejsce i tryb złożenia oferty oraz okres, w którym oferta jest wiążąca</w:t>
      </w:r>
    </w:p>
    <w:p w14:paraId="1645FFCA" w14:textId="77777777" w:rsidR="007D19DB" w:rsidRPr="007D19DB" w:rsidRDefault="007D19DB" w:rsidP="007D19DB">
      <w:pPr>
        <w:autoSpaceDE w:val="0"/>
        <w:autoSpaceDN w:val="0"/>
        <w:adjustRightInd w:val="0"/>
        <w:spacing w:before="120" w:after="120" w:line="240" w:lineRule="auto"/>
        <w:ind w:left="510" w:firstLine="22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7D19D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color="000000"/>
          <w:lang w:eastAsia="pl-PL"/>
          <w14:ligatures w14:val="none"/>
        </w:rPr>
        <w:lastRenderedPageBreak/>
        <w:t>Oferty należy złożyć w sekretariacie Urzędu Gminy i Miasta Kleczew, pl. Kościuszki 5, 62-540 Kleczew, w zaklejonej kopercie z napisem „II Przetarg na sprzedaż składników rzeczowych majątku ruchomego Gminy Kleczew – kotłownia gazowa na ulicy 11 Listopada 18 A” lub drogą mailową na adres: ugim@kleczew.pl   z tytułem maila: „II Przetarg na sprzedaż składników rzeczowych majątku ruchomego Gminy Kleczew – kotłownia gazowa na ulicy 11 Listopada 18 A”, do godziny 9.00, 13 lipca 2026 r.</w:t>
      </w:r>
    </w:p>
    <w:p w14:paraId="1672AAB2" w14:textId="77777777" w:rsidR="007D19DB" w:rsidRPr="007D19DB" w:rsidRDefault="007D19DB" w:rsidP="007D19DB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7D19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V. </w:t>
      </w:r>
      <w:r w:rsidRPr="007D19D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color="000000"/>
          <w:lang w:eastAsia="pl-PL"/>
          <w14:ligatures w14:val="none"/>
        </w:rPr>
        <w:t>Burmistrz Gminy i Miasta Kleczew zastrzega sobie prawo odwołania przetargu.</w:t>
      </w:r>
    </w:p>
    <w:p w14:paraId="480B3EFD" w14:textId="77777777" w:rsidR="007D19DB" w:rsidRPr="007D19DB" w:rsidRDefault="007D19DB" w:rsidP="007D19DB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7D19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VI. </w:t>
      </w:r>
      <w:r w:rsidRPr="007D19D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color="000000"/>
          <w:lang w:eastAsia="pl-PL"/>
          <w14:ligatures w14:val="none"/>
        </w:rPr>
        <w:t>Czynności związane z przeprowadzeniem II przetargu wykonuje komisja przetargowa powołana przez organizatora przetargu, składająca się z co najmniej trzech pracowników, tj. z przewodniczącego komisji oraz dwóch członków.</w:t>
      </w:r>
    </w:p>
    <w:p w14:paraId="727C3EF5" w14:textId="77777777" w:rsidR="007D19DB" w:rsidRPr="007D19DB" w:rsidRDefault="007D19DB" w:rsidP="007D19DB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7D19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VII. </w:t>
      </w:r>
      <w:r w:rsidRPr="007D19D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color="000000"/>
          <w:lang w:eastAsia="pl-PL"/>
          <w14:ligatures w14:val="none"/>
        </w:rPr>
        <w:t>Komisja przetargowa sprawdza:</w:t>
      </w:r>
    </w:p>
    <w:p w14:paraId="23882F0C" w14:textId="77777777" w:rsidR="007D19DB" w:rsidRPr="007D19DB" w:rsidRDefault="007D19DB" w:rsidP="007D19DB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7D19DB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1. </w:t>
      </w:r>
      <w:r w:rsidRPr="007D19D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color="000000"/>
          <w:lang w:eastAsia="pl-PL"/>
          <w14:ligatures w14:val="none"/>
        </w:rPr>
        <w:t>Liczbę złożonych ofert.</w:t>
      </w:r>
    </w:p>
    <w:p w14:paraId="3A81A485" w14:textId="77777777" w:rsidR="007D19DB" w:rsidRPr="007D19DB" w:rsidRDefault="007D19DB" w:rsidP="007D19DB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7D19DB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2. </w:t>
      </w:r>
      <w:r w:rsidRPr="007D19D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color="000000"/>
          <w:lang w:eastAsia="pl-PL"/>
          <w14:ligatures w14:val="none"/>
        </w:rPr>
        <w:t>Zgodność ofert z wymaganiami wskazanymi w ogłoszeniu.</w:t>
      </w:r>
    </w:p>
    <w:p w14:paraId="1A914EE5" w14:textId="77777777" w:rsidR="007D19DB" w:rsidRPr="007D19DB" w:rsidRDefault="007D19DB" w:rsidP="007D19DB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7D19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VIII. </w:t>
      </w:r>
      <w:r w:rsidRPr="007D19D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color="000000"/>
          <w:lang w:eastAsia="pl-PL"/>
          <w14:ligatures w14:val="none"/>
        </w:rPr>
        <w:t>Komisja przetargowa odrzuca ofertę, jeżeli:</w:t>
      </w:r>
    </w:p>
    <w:p w14:paraId="538C7318" w14:textId="77777777" w:rsidR="007D19DB" w:rsidRPr="007D19DB" w:rsidRDefault="007D19DB" w:rsidP="007D19DB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7D19DB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1. </w:t>
      </w:r>
      <w:r w:rsidRPr="007D19D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color="000000"/>
          <w:lang w:eastAsia="pl-PL"/>
          <w14:ligatures w14:val="none"/>
        </w:rPr>
        <w:t>Została złożona po wyznaczonym terminie, w niewłaściwym miejscu.</w:t>
      </w:r>
    </w:p>
    <w:p w14:paraId="4E2839A2" w14:textId="77777777" w:rsidR="007D19DB" w:rsidRPr="007D19DB" w:rsidRDefault="007D19DB" w:rsidP="007D19DB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7D19DB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2. </w:t>
      </w:r>
      <w:r w:rsidRPr="007D19D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color="000000"/>
          <w:lang w:eastAsia="pl-PL"/>
          <w14:ligatures w14:val="none"/>
        </w:rPr>
        <w:t>Oferent złożył więcej niż jedną ofertę.</w:t>
      </w:r>
    </w:p>
    <w:p w14:paraId="7837D47D" w14:textId="77777777" w:rsidR="007D19DB" w:rsidRPr="007D19DB" w:rsidRDefault="007D19DB" w:rsidP="007D19DB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7D19DB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3. </w:t>
      </w:r>
      <w:r w:rsidRPr="007D19D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color="000000"/>
          <w:lang w:eastAsia="pl-PL"/>
          <w14:ligatures w14:val="none"/>
        </w:rPr>
        <w:t>Nie zawiera danych i dokumentów lub są one niekompletne, nieczytelne lub budzą inną wątpliwość, zaś złożenie wyjaśnień mogłoby prowadzić do uznania jej za nową ofertę.</w:t>
      </w:r>
    </w:p>
    <w:p w14:paraId="10DFBB0C" w14:textId="77777777" w:rsidR="007D19DB" w:rsidRPr="007D19DB" w:rsidRDefault="007D19DB" w:rsidP="007D19DB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7D19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IX. </w:t>
      </w:r>
      <w:r w:rsidRPr="007D19D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color="000000"/>
          <w:lang w:eastAsia="pl-PL"/>
          <w14:ligatures w14:val="none"/>
        </w:rPr>
        <w:t>Komisja przetargowa wybiera oferenta, który zaoferował najwyższą cenę.</w:t>
      </w:r>
    </w:p>
    <w:p w14:paraId="721763BE" w14:textId="77777777" w:rsidR="007D19DB" w:rsidRPr="007D19DB" w:rsidRDefault="007D19DB" w:rsidP="007D19DB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7D19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X. </w:t>
      </w:r>
      <w:r w:rsidRPr="007D19D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color="000000"/>
          <w:lang w:eastAsia="pl-PL"/>
          <w14:ligatures w14:val="none"/>
        </w:rPr>
        <w:t>W razie ustalenia, że kilku oferentów zaoferowało tę samą cenę, komisja postanawia o kontynuowaniu sprzedaży w formie dogrywki między tymi oferentami. W przypadku przeprowadzenia dogrywki komisja zawiadamia na piśmie lub poprzez e-mail o konieczności przeprowadzenia dogrywki poprzez złożenie dodatkowych ofert, o terminie i miejscu jej przeprowadzenia. Dodatkowa oferta nie może być niższa od pierwotnej, złożonej przez danego oferenta, pod rygorem odrzucenia oferty. Jeżeli żaden z zaproszonych do dogrywki oferentów, nie złoży nowej oferty sprzedaż uznaje się za przerwaną, a przedmiot sprzedaży będzie wystawiony do kolejnej sprzedaży.</w:t>
      </w:r>
    </w:p>
    <w:p w14:paraId="065A6C8F" w14:textId="77777777" w:rsidR="007D19DB" w:rsidRPr="007D19DB" w:rsidRDefault="007D19DB" w:rsidP="007D19DB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7D19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XI. </w:t>
      </w:r>
      <w:r w:rsidRPr="007D19D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color="000000"/>
          <w:lang w:eastAsia="pl-PL"/>
          <w14:ligatures w14:val="none"/>
        </w:rPr>
        <w:t>Organizator jest obowiązany powiadomić niezwłocznie uczestników przetargu o jego wyniku albo o zamknięciu przetargu bez dokonania wyboru.</w:t>
      </w:r>
    </w:p>
    <w:p w14:paraId="5603593A" w14:textId="77777777" w:rsidR="007D19DB" w:rsidRPr="007D19DB" w:rsidRDefault="007D19DB" w:rsidP="007D19DB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7D19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XII. </w:t>
      </w:r>
      <w:r w:rsidRPr="007D19D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color="000000"/>
          <w:lang w:eastAsia="pl-PL"/>
          <w14:ligatures w14:val="none"/>
        </w:rPr>
        <w:t>Zawiadomienie oferenta o przyjęciu oferty oznacza zawarcie umowy sprzedaży w trybie przetargu.</w:t>
      </w:r>
    </w:p>
    <w:p w14:paraId="5982F783" w14:textId="77777777" w:rsidR="007D19DB" w:rsidRPr="007D19DB" w:rsidRDefault="007D19DB" w:rsidP="007D19DB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7D19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XIII. </w:t>
      </w:r>
      <w:r w:rsidRPr="007D19D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color="000000"/>
          <w:lang w:eastAsia="pl-PL"/>
          <w14:ligatures w14:val="none"/>
        </w:rPr>
        <w:t>Nabywca jest obowiązany zapłacić cenę nabycia niezwłocznie po zawarciu umowy sprzedaży lub w terminie wyznaczonym przez prowadzącego przetarg, ale nie dłuższym niż 7 dni.</w:t>
      </w:r>
    </w:p>
    <w:p w14:paraId="105E3695" w14:textId="77777777" w:rsidR="007D19DB" w:rsidRPr="007D19DB" w:rsidRDefault="007D19DB" w:rsidP="007D19DB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7D19D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XIV. </w:t>
      </w:r>
      <w:r w:rsidRPr="007D19D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color="000000"/>
          <w:lang w:eastAsia="pl-PL"/>
          <w14:ligatures w14:val="none"/>
        </w:rPr>
        <w:t>Ogłoszenie o przetargu zostało wywieszone od 29.07.2026 r. do 12.08.2026 r. na tablicy ogłoszeń</w:t>
      </w:r>
      <w:r w:rsidRPr="007D19D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color="000000"/>
          <w:lang w:eastAsia="pl-PL"/>
          <w14:ligatures w14:val="none"/>
        </w:rPr>
        <w:br/>
        <w:t>w siedzibie Urzędu Gminy i Miasta w Kleczewie, pl. Kościuszki 5, 62-540 Kleczew oraz opublikowane</w:t>
      </w:r>
      <w:r w:rsidRPr="007D19D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color="000000"/>
          <w:lang w:eastAsia="pl-PL"/>
          <w14:ligatures w14:val="none"/>
        </w:rPr>
        <w:br/>
        <w:t xml:space="preserve">na stronach: </w:t>
      </w:r>
      <w:hyperlink r:id="rId6" w:tooltip="Link do http://www.bip.kleczew.pl" w:history="1">
        <w:r w:rsidRPr="007D19DB">
          <w:rPr>
            <w:rFonts w:ascii="Times New Roman" w:eastAsia="Times New Roman" w:hAnsi="Times New Roman" w:cs="Times New Roman"/>
            <w:color w:val="0066CC"/>
            <w:kern w:val="0"/>
            <w:sz w:val="22"/>
            <w:szCs w:val="22"/>
            <w:u w:val="single" w:color="000000"/>
            <w:lang w:eastAsia="pl-PL"/>
            <w14:ligatures w14:val="none"/>
          </w:rPr>
          <w:t>www.bip.kleczew.pl</w:t>
        </w:r>
      </w:hyperlink>
      <w:r w:rsidRPr="007D19D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 </w:t>
      </w:r>
      <w:r w:rsidRPr="007D19D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color="000000"/>
          <w:lang w:eastAsia="pl-PL"/>
          <w14:ligatures w14:val="none"/>
        </w:rPr>
        <w:t>  i </w:t>
      </w:r>
      <w:hyperlink r:id="rId7" w:tooltip="Link do http://www.kleczew.pl" w:history="1">
        <w:r w:rsidRPr="007D19DB">
          <w:rPr>
            <w:rFonts w:ascii="Times New Roman" w:eastAsia="Times New Roman" w:hAnsi="Times New Roman" w:cs="Times New Roman"/>
            <w:color w:val="0066CC"/>
            <w:kern w:val="0"/>
            <w:sz w:val="22"/>
            <w:szCs w:val="22"/>
            <w:u w:val="single" w:color="000000"/>
            <w:lang w:eastAsia="pl-PL"/>
            <w14:ligatures w14:val="none"/>
          </w:rPr>
          <w:t>www.kleczew.pl</w:t>
        </w:r>
      </w:hyperlink>
      <w:r w:rsidRPr="007D19D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 </w:t>
      </w:r>
      <w:r w:rsidRPr="007D19D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color="000000"/>
          <w:lang w:eastAsia="pl-PL"/>
          <w14:ligatures w14:val="none"/>
        </w:rPr>
        <w:t>    </w:t>
      </w:r>
    </w:p>
    <w:p w14:paraId="0960AB61" w14:textId="77777777" w:rsidR="007D19DB" w:rsidRPr="007D19DB" w:rsidRDefault="007D19DB" w:rsidP="007D19DB">
      <w:pPr>
        <w:autoSpaceDE w:val="0"/>
        <w:autoSpaceDN w:val="0"/>
        <w:adjustRightInd w:val="0"/>
        <w:spacing w:before="120" w:after="120" w:line="240" w:lineRule="auto"/>
        <w:ind w:left="510" w:firstLine="22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7D19D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color="000000"/>
          <w:lang w:eastAsia="pl-PL"/>
          <w14:ligatures w14:val="none"/>
        </w:rPr>
        <w:t xml:space="preserve">Szczegółowe informacje dotyczące o przetargu można uzyskać w Urzędzie Gminy i Miasta w Kleczewie, pl. Kościuszki 5, 62-540 Kleczew, </w:t>
      </w:r>
      <w:r w:rsidRPr="007D19DB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color="000000"/>
          <w:lang w:eastAsia="pl-PL"/>
          <w14:ligatures w14:val="none"/>
        </w:rPr>
        <w:t>pokój 302 </w:t>
      </w:r>
      <w:r w:rsidRPr="007D19D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color="000000"/>
          <w:lang w:eastAsia="pl-PL"/>
          <w14:ligatures w14:val="none"/>
        </w:rPr>
        <w:t xml:space="preserve">oraz pod nr tel. </w:t>
      </w:r>
      <w:r w:rsidRPr="007D19DB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color="000000"/>
          <w:lang w:eastAsia="pl-PL"/>
          <w14:ligatures w14:val="none"/>
        </w:rPr>
        <w:t>63 270 09 10.</w:t>
      </w:r>
    </w:p>
    <w:p w14:paraId="6F628DF1" w14:textId="77777777" w:rsidR="006430D1" w:rsidRDefault="006430D1"/>
    <w:sectPr w:rsidR="006430D1" w:rsidSect="007D19DB">
      <w:footerReference w:type="default" r:id="rId8"/>
      <w:endnotePr>
        <w:numFmt w:val="decimal"/>
      </w:endnotePr>
      <w:pgSz w:w="11906" w:h="16838"/>
      <w:pgMar w:top="850" w:right="1417" w:bottom="1417" w:left="85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EC2A4" w14:textId="77777777" w:rsidR="007D19DB" w:rsidRDefault="007D19DB" w:rsidP="007D19DB">
      <w:pPr>
        <w:spacing w:after="0" w:line="240" w:lineRule="auto"/>
      </w:pPr>
      <w:r>
        <w:separator/>
      </w:r>
    </w:p>
  </w:endnote>
  <w:endnote w:type="continuationSeparator" w:id="0">
    <w:p w14:paraId="5595224B" w14:textId="77777777" w:rsidR="007D19DB" w:rsidRDefault="007D19DB" w:rsidP="007D1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A8F17" w14:textId="6BF36DF8" w:rsidR="007D19DB" w:rsidRDefault="007D19DB" w:rsidP="007D19DB">
    <w:pPr>
      <w:pStyle w:val="Stopka"/>
    </w:pPr>
    <w:r w:rsidRPr="007D19DB">
      <w:rPr>
        <w:lang w:val="en-US"/>
      </w:rPr>
      <w:t xml:space="preserve">Id: EA3D5E4F-100F-432D-BD80-5708BB9105D9. </w:t>
    </w:r>
    <w:r w:rsidRPr="007D19DB">
      <w:t xml:space="preserve">Podpisany </w:t>
    </w:r>
  </w:p>
  <w:p w14:paraId="1535DD99" w14:textId="77777777" w:rsidR="007D19DB" w:rsidRDefault="007D19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EB9B7" w14:textId="77777777" w:rsidR="007D19DB" w:rsidRDefault="007D19DB" w:rsidP="007D19DB">
      <w:pPr>
        <w:spacing w:after="0" w:line="240" w:lineRule="auto"/>
      </w:pPr>
      <w:r>
        <w:separator/>
      </w:r>
    </w:p>
  </w:footnote>
  <w:footnote w:type="continuationSeparator" w:id="0">
    <w:p w14:paraId="154B2394" w14:textId="77777777" w:rsidR="007D19DB" w:rsidRDefault="007D19DB" w:rsidP="007D19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3FE"/>
    <w:rsid w:val="00051C7A"/>
    <w:rsid w:val="00267C63"/>
    <w:rsid w:val="006430D1"/>
    <w:rsid w:val="007D19DB"/>
    <w:rsid w:val="009B43FE"/>
    <w:rsid w:val="00F7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75CD4"/>
  <w15:chartTrackingRefBased/>
  <w15:docId w15:val="{F74EE585-118E-4CA4-8C82-8B184C12A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B43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43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43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43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43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43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43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43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43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43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43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43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43F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43F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43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43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43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43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43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43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43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B43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43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B43F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B43F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B43F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43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43F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43F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D1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19DB"/>
  </w:style>
  <w:style w:type="paragraph" w:styleId="Stopka">
    <w:name w:val="footer"/>
    <w:basedOn w:val="Normalny"/>
    <w:link w:val="StopkaZnak"/>
    <w:uiPriority w:val="99"/>
    <w:unhideWhenUsed/>
    <w:rsid w:val="007D1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1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kleczew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ip.kleczew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830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</dc:creator>
  <cp:keywords/>
  <dc:description/>
  <cp:lastModifiedBy>Urząd Gminy</cp:lastModifiedBy>
  <cp:revision>1</cp:revision>
  <dcterms:created xsi:type="dcterms:W3CDTF">2026-07-29T11:49:00Z</dcterms:created>
  <dcterms:modified xsi:type="dcterms:W3CDTF">2026-07-29T12:03:00Z</dcterms:modified>
</cp:coreProperties>
</file>